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Comunicado: </w:t>
      </w:r>
      <w:r w:rsidDel="00000000" w:rsidR="00000000" w:rsidRPr="00000000">
        <w:rPr>
          <w:rFonts w:ascii="EB Garamond" w:cs="EB Garamond" w:eastAsia="EB Garamond" w:hAnsi="EB Garamond"/>
          <w:b w:val="1"/>
          <w:sz w:val="28"/>
          <w:szCs w:val="28"/>
          <w:rtl w:val="0"/>
        </w:rPr>
        <w:t xml:space="preserve">0665</w:t>
      </w:r>
    </w:p>
    <w:p w:rsidR="00000000" w:rsidDel="00000000" w:rsidP="00000000" w:rsidRDefault="00000000" w:rsidRPr="00000000" w14:paraId="00000002">
      <w:pPr>
        <w:spacing w:after="240" w:before="240" w:lineRule="auto"/>
        <w:jc w:val="both"/>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IPE destaca avances financieros y operativos en su Informe Anual 2024</w:t>
      </w:r>
    </w:p>
    <w:p w:rsidR="00000000" w:rsidDel="00000000" w:rsidP="00000000" w:rsidRDefault="00000000" w:rsidRPr="00000000" w14:paraId="00000003">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&gt;Enfrenta retos en pensiones con respaldo de la gobernadora, Rocío Nahle.</w:t>
      </w:r>
    </w:p>
    <w:p w:rsidR="00000000" w:rsidDel="00000000" w:rsidP="00000000" w:rsidRDefault="00000000" w:rsidRPr="00000000" w14:paraId="00000004">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Xalapa, Ver., viernes 07 de marzo de 2025.–</w:t>
      </w:r>
      <w:r w:rsidDel="00000000" w:rsidR="00000000" w:rsidRPr="00000000">
        <w:rPr>
          <w:rFonts w:ascii="EB Garamond" w:cs="EB Garamond" w:eastAsia="EB Garamond" w:hAnsi="EB Garamond"/>
          <w:sz w:val="28"/>
          <w:szCs w:val="28"/>
          <w:rtl w:val="0"/>
        </w:rPr>
        <w:t xml:space="preserve"> En cumplimiento con la Ley 287 de Pensiones del Estado de Veracruz, el director general del Instituto de Pensiones del Estado (IPE), Luis Octavio Hernández Lara, presentó el Informe Anual de Actividades 2024 ante el Consejo Directivo, representantes sindicales y asociaciones de pensionistas.</w:t>
      </w:r>
    </w:p>
    <w:p w:rsidR="00000000" w:rsidDel="00000000" w:rsidP="00000000" w:rsidRDefault="00000000" w:rsidRPr="00000000" w14:paraId="00000005">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Durante la presentación, se destacó el avance en materia financiera, la mejora en el otorgamiento de pensiones y prestaciones, así como la consolidación de un modelo de gestión eficiente y sostenible.</w:t>
      </w:r>
    </w:p>
    <w:p w:rsidR="00000000" w:rsidDel="00000000" w:rsidP="00000000" w:rsidRDefault="00000000" w:rsidRPr="00000000" w14:paraId="00000006">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Los asistentes expresaron sus opiniones sobre la labor realizada y los retos futuros para fortalecer el sistema solidario de pensiones, resaltando la importancia del diálogo con las organizaciones de trabajadoras y trabajadores del Estado.</w:t>
      </w:r>
    </w:p>
    <w:p w:rsidR="00000000" w:rsidDel="00000000" w:rsidP="00000000" w:rsidRDefault="00000000" w:rsidRPr="00000000" w14:paraId="00000007">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Asimismo, coincidieron en que, con el respaldo de la gobernadora, Rocío Nahle García, el IPE podrá enfrentar los desafíos venideros con solidez y compromiso.</w:t>
      </w:r>
    </w:p>
    <w:p w:rsidR="00000000" w:rsidDel="00000000" w:rsidP="00000000" w:rsidRDefault="00000000" w:rsidRPr="00000000" w14:paraId="00000008">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En el Foro Cultural Carmela Rey, se reunieron más de 250 asistentes, incluyendo trabajadoras y trabajadores del Instituto y población derechohabiente.</w:t>
      </w:r>
    </w:p>
    <w:p w:rsidR="00000000" w:rsidDel="00000000" w:rsidP="00000000" w:rsidRDefault="00000000" w:rsidRPr="00000000" w14:paraId="00000009">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Acompañaron al director general los subdirectores Administrativo, Marco Aurelio Martínez Sánchez; Jurídico, José Luis Soto Benítez; el secretario Ejecutivo, Ángel Pérez Silva; y el secretario Operativo, Manuel Reyna Muñoz.</w:t>
      </w:r>
    </w:p>
    <w:p w:rsidR="00000000" w:rsidDel="00000000" w:rsidP="00000000" w:rsidRDefault="00000000" w:rsidRPr="00000000" w14:paraId="0000000A">
      <w:pPr>
        <w:spacing w:after="240" w:before="240" w:lineRule="auto"/>
        <w:jc w:val="both"/>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También el presidente de la Unión Democrática de Jubilados y Pensionados de Veracruz A.C.,Jesús Arenzano Mendoza y secretario del exterior de FESAPAUV, Víctor Manuel Méndez Sánchez.</w:t>
      </w:r>
    </w:p>
    <w:p w:rsidR="00000000" w:rsidDel="00000000" w:rsidP="00000000" w:rsidRDefault="00000000" w:rsidRPr="00000000" w14:paraId="0000000B">
      <w:pPr>
        <w:spacing w:after="240" w:before="240"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---000---</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895" w:top="4399" w:left="1701" w:right="104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EB Garam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-1102435</wp:posOffset>
          </wp:positionH>
          <wp:positionV relativeFrom="paragraph">
            <wp:posOffset>-427277</wp:posOffset>
          </wp:positionV>
          <wp:extent cx="7807059" cy="101032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7059" cy="10103252"/>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